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Bookman Old Style" w:hAnsi="Bookman Old Style" w:cs="Times New Roman"/>
          <w:b/>
          <w:b/>
          <w:sz w:val="24"/>
          <w:szCs w:val="24"/>
        </w:rPr>
      </w:pPr>
      <w:r>
        <w:rPr>
          <w:rFonts w:cs="Times New Roman" w:ascii="Bookman Old Style" w:hAnsi="Bookman Old Style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INSTRUÇÃO NORMATIVA N.º SCI-01/2022</w:t>
      </w:r>
    </w:p>
    <w:p>
      <w:pPr>
        <w:pStyle w:val="Normal"/>
        <w:spacing w:lineRule="auto" w:line="36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3969" w:right="0" w:hanging="0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DISPÕE SOBRE OS CRITÉRIOS TÉCNICOS UTILIZADOS PARA OS PROCEDIMENTOS PARA REEQUILÍBRIO ECONÔMICO-FINANCEIRO NOS PROCESSOS DE LICITAÇÃO E COMPRA DE MATERIAIS OU SERVIÇOS NO ÂMBITO DA PREFEITURA DE </w:t>
      </w:r>
      <w:r>
        <w:rPr>
          <w:rFonts w:eastAsia="Times New Roman" w:cs="Arial" w:ascii="Arial" w:hAnsi="Arial"/>
          <w:b/>
          <w:bCs/>
          <w:color w:val="auto"/>
          <w:sz w:val="24"/>
          <w:szCs w:val="24"/>
          <w:lang w:val="pt-BR" w:eastAsia="zxx" w:bidi="ar-SA"/>
        </w:rPr>
        <w:t xml:space="preserve">NOVA ESPERANÇA DO SUL/RS </w:t>
      </w:r>
      <w:r>
        <w:rPr>
          <w:rFonts w:cs="Arial" w:ascii="Arial" w:hAnsi="Arial"/>
          <w:b/>
          <w:bCs/>
          <w:sz w:val="24"/>
          <w:szCs w:val="24"/>
        </w:rPr>
        <w:t>E DÁ OUTRAS PROVIDÊNCIAS.</w:t>
      </w:r>
    </w:p>
    <w:p>
      <w:pPr>
        <w:pStyle w:val="Normal"/>
        <w:widowControl/>
        <w:suppressAutoHyphens w:val="true"/>
        <w:bidi w:val="0"/>
        <w:spacing w:lineRule="auto" w:line="360"/>
        <w:ind w:left="3969" w:righ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sz w:val="24"/>
          <w:szCs w:val="24"/>
        </w:rPr>
        <w:t xml:space="preserve">O </w:t>
      </w:r>
      <w:r>
        <w:rPr>
          <w:rFonts w:cs="Arial" w:ascii="Arial" w:hAnsi="Arial"/>
          <w:b/>
          <w:bCs/>
          <w:sz w:val="24"/>
          <w:szCs w:val="24"/>
        </w:rPr>
        <w:t xml:space="preserve">Controle Interno do Município de </w:t>
      </w:r>
      <w:r>
        <w:rPr>
          <w:rFonts w:eastAsia="Times New Roman" w:cs="Arial" w:ascii="Arial" w:hAnsi="Arial"/>
          <w:b/>
          <w:bCs/>
          <w:color w:val="auto"/>
          <w:sz w:val="24"/>
          <w:szCs w:val="24"/>
          <w:lang w:val="pt-BR" w:eastAsia="zxx" w:bidi="ar-SA"/>
        </w:rPr>
        <w:t xml:space="preserve">Nova Esperança </w:t>
      </w:r>
      <w:r>
        <w:rPr>
          <w:rFonts w:cs="Arial" w:ascii="Arial" w:hAnsi="Arial"/>
          <w:b/>
          <w:bCs/>
          <w:sz w:val="24"/>
          <w:szCs w:val="24"/>
        </w:rPr>
        <w:t>do Sul/RS</w:t>
      </w:r>
      <w:r>
        <w:rPr>
          <w:rFonts w:cs="Arial" w:ascii="Arial" w:hAnsi="Arial"/>
          <w:sz w:val="24"/>
          <w:szCs w:val="24"/>
        </w:rPr>
        <w:t xml:space="preserve">, no desempenho das atribuições legais que lhe são conferidas pela Lei </w:t>
      </w:r>
      <w:r>
        <w:rPr>
          <w:rFonts w:eastAsia="Times New Roman" w:cs="Arial" w:ascii="Arial" w:hAnsi="Arial"/>
          <w:bCs/>
          <w:color w:val="auto"/>
          <w:sz w:val="24"/>
          <w:szCs w:val="24"/>
          <w:lang w:val="pt-BR" w:eastAsia="zxx" w:bidi="ar-SA"/>
        </w:rPr>
        <w:t>Orgânica</w:t>
      </w:r>
      <w:r>
        <w:rPr>
          <w:rFonts w:cs="Arial" w:ascii="Arial" w:hAnsi="Arial"/>
          <w:sz w:val="24"/>
          <w:szCs w:val="24"/>
        </w:rPr>
        <w:t xml:space="preserve"> Municipal 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CONSIDERANDO</w:t>
      </w:r>
      <w:r>
        <w:rPr>
          <w:rFonts w:cs="Arial" w:ascii="Arial" w:hAnsi="Arial"/>
          <w:sz w:val="24"/>
          <w:szCs w:val="24"/>
        </w:rPr>
        <w:t xml:space="preserve"> que a Constituição Federal, em seu artigo 37, inciso XXI, estabelece que as obras, serviços, compras e alienações serão contratados mediante processo de licitação pública, ressalvados os casos especificados na legislação;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CONSIDERANDO</w:t>
      </w:r>
      <w:r>
        <w:rPr>
          <w:rFonts w:cs="Arial" w:ascii="Arial" w:hAnsi="Arial"/>
          <w:sz w:val="24"/>
          <w:szCs w:val="24"/>
        </w:rPr>
        <w:t xml:space="preserve"> que após a conclusão dos processos licitatórios surgem inúmeros pedidos para reequilíbrio econômico-financeiro durante o seu  trâmite e que as comprovações têm sido de ordem frágil;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CONSIDERANDO</w:t>
      </w:r>
      <w:r>
        <w:rPr>
          <w:rFonts w:cs="Arial" w:ascii="Arial" w:hAnsi="Arial"/>
          <w:sz w:val="24"/>
          <w:szCs w:val="24"/>
        </w:rPr>
        <w:t xml:space="preserve"> os princípios constitucionais da Legalidade, Impessoalidade, Moralidade, Publicidade; Eficiência e Economicidade;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CONSIDERANDO</w:t>
      </w:r>
      <w:r>
        <w:rPr>
          <w:rFonts w:cs="Arial" w:ascii="Arial" w:hAnsi="Arial"/>
          <w:sz w:val="24"/>
          <w:szCs w:val="24"/>
        </w:rPr>
        <w:t xml:space="preserve"> as determinações instituídas pelas Leis n.º 8666, de 21 de junho de 1993, e n.º 10.520 de julho de 2002;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CONSIDERANDO</w:t>
      </w:r>
      <w:r>
        <w:rPr>
          <w:rFonts w:cs="Arial" w:ascii="Arial" w:hAnsi="Arial"/>
          <w:sz w:val="24"/>
          <w:szCs w:val="24"/>
        </w:rPr>
        <w:t xml:space="preserve"> o que a Lei Complementar Federal n.º 101, de 04 de maio de 2000 (Lei de Responsabilidade Fiscal) impõe planejamento nas ações dos agentes públicos;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RESOLVE</w:t>
      </w:r>
      <w:r>
        <w:rPr>
          <w:rFonts w:cs="Arial" w:ascii="Arial" w:hAnsi="Arial"/>
          <w:sz w:val="24"/>
          <w:szCs w:val="24"/>
        </w:rPr>
        <w:t>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Art. 1º. </w:t>
      </w:r>
      <w:r>
        <w:rPr>
          <w:rFonts w:cs="Arial" w:ascii="Arial" w:hAnsi="Arial"/>
          <w:b w:val="false"/>
          <w:bCs w:val="false"/>
          <w:sz w:val="24"/>
          <w:szCs w:val="24"/>
        </w:rPr>
        <w:t>Para os pedidos de reajustes para reequilíbrio econômico-financeiro, os licitantes e a Administração Municipal deverão observar os procedimentos contidos nesta Instrução Normativa.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2º</w:t>
      </w:r>
      <w:r>
        <w:rPr>
          <w:rFonts w:cs="Arial" w:ascii="Arial" w:hAnsi="Arial"/>
          <w:b w:val="false"/>
          <w:bCs w:val="false"/>
          <w:sz w:val="24"/>
          <w:szCs w:val="24"/>
        </w:rPr>
        <w:t>. Esta Instrução Normativa abrange as secretarias, órgãos de assessoramento e de controle que possuam contratos administrativos.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3º</w:t>
      </w:r>
      <w:r>
        <w:rPr>
          <w:rFonts w:cs="Arial" w:ascii="Arial" w:hAnsi="Arial"/>
          <w:b w:val="false"/>
          <w:bCs w:val="false"/>
          <w:sz w:val="24"/>
          <w:szCs w:val="24"/>
        </w:rPr>
        <w:t>. O equilíbrio econômico-financeiro consiste na manutenção das condições originalmente estabelecidas no ajuste, de maneira que a relação entre as obrigações do contratado e a justa retribuição da Administração pela execução de obra, prestação de serviço ou fornecimento, seja mantida durante toda a execução contratual.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1º.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Os procedimentos de reequilíbrio econômico-financeiro, não podem conduzir a benefícios nem a prejuízos para qualquer das partes do contrato.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2º</w:t>
      </w:r>
      <w:r>
        <w:rPr>
          <w:rFonts w:cs="Arial" w:ascii="Arial" w:hAnsi="Arial"/>
          <w:b w:val="false"/>
          <w:bCs w:val="false"/>
          <w:sz w:val="24"/>
          <w:szCs w:val="24"/>
        </w:rPr>
        <w:t>. Quando da análise da viabilidade do uso do mencionado instituto, a administração, quando for o caso, deverá analisar os requerimentos com os pareceres jurídicos.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4º.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concessão da revisão independe de tempo e de previsão contratual, e em todo caso deverá ser demonstrada sua repercussão no contrato.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Art. </w:t>
      </w:r>
      <w:r>
        <w:rPr>
          <w:rFonts w:eastAsia="Times New Roman" w:cs="Arial" w:ascii="Arial" w:hAnsi="Arial"/>
          <w:b/>
          <w:bCs/>
          <w:color w:val="auto"/>
          <w:sz w:val="24"/>
          <w:szCs w:val="24"/>
          <w:lang w:val="pt-BR" w:eastAsia="zxx" w:bidi="ar-SA"/>
        </w:rPr>
        <w:t>5º</w:t>
      </w:r>
      <w:r>
        <w:rPr>
          <w:rFonts w:cs="Arial" w:ascii="Arial" w:hAnsi="Arial"/>
          <w:b/>
          <w:bCs/>
          <w:sz w:val="24"/>
          <w:szCs w:val="24"/>
        </w:rPr>
        <w:t>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Cabe à contratada demonstrar a superveniência dos eventos que implicam na revisão, os efeitos gerados e a repercussão sobre a execução do objeto, bem como o desequilíbrio na relação encargo/remuneração e, à Administração averiguá-los integralmente e atestá-los.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6º.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solicitação de revisão, no caso de elevação no custo do encargo que torne o preço insuficiente em vista das condições iniciais ajustadas, deve ser, obrigatoriamente, de iniciativa da contratada.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Parágrafo Único.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Na hipótese de diminuição dos preços, caberá ao fiscal do contrato provocar a redução do preço excessivo, por meio da revisão, em vista das novas condições de mercado.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7º.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Para solicitar a revisão contratual a Contratada deverá formular requerimento, a ser devidamente protocolizado no Protocolo Geral, comprovando a ocorrência do desequilíbrio econômico-financeiro do contrato, por meio da seguinte documentação: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Solicitação contendo a identificação completa do fornecedor, número do processo licitatório, número da modalidade licitatória, número do contrato/ata de registro de preços e justificativa fundamentada do pedido de reequilíbrio econômico-financeiro do ajuste, demonstrando a superveniência dos eventos que implicam na revisão, o nexo de causalidade entre os eventos ocorridos e a alteração dos custos, os efeitos gerados e a repercussão sobre a execução do objeto;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Planilhas de custos comparativas, entre a data da formulação da proposta e do momento do pedido de revisão do contrato/ata de registro de preços, dos itens que estão ocasionando desequilíbrio, evidenciando a repercussão do aumento de preços ocorrido no (s) valor (es) originalmente pactuado (s).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III.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Comprovação da variação dos custos devendo ser realizada por meio de documentos, tais como: notas fiscais de aquisição de produtos, matérias-primas, de transporte de mercadorias, referentes à época da elaboração da proposta e ao momento do pedido de revisão do ajuste;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IV.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Comprovação da ocorrência de uma das hipóteses previstas no artigo 65, inciso II, alínea “d” da Lei Federal nº. 8666/93, ou seja, fatos imprevisíveis, ou previsíveis de efeitos incalculáveis, que retardam ou impedem a execução do contrato, ou, ainda, em caso de força maior, caso fortuito ou fato do príncipe, caracterizando álea econômica extraordinária e extracontratual.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1º.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As ocorrências de que trata o inciso IV, deste artigo, podem ser demonstradas, conforme o caso, por meio de notícias de jornais, comunicado do governo, lei publicada recentemente, sem prejuízo de outros.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2º.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Da nota fiscal indicada no inciso III, deste artigo, deverá constar a mesma marca do produto indicada na proposta comercial da licitação.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3º.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elevação dos preços de alguns produtos e/ou insumos, motivada por mercados suscetíveis às variações climáticas, entressafra, alta de matéria prima, etc., (fatores sazonais) não constitui fato superveniente capaz de alterar o equilíbrio econômico-financeiro do contrato, por tratarem de fatores previsíveis, portanto já considerados na elaboração do preço proposto.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8º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. Em se tratando de obra ou serviço de engenharia, para solicitar a revisão contratual a Contratada deverá formular requerimento </w:t>
      </w:r>
      <w:r>
        <w:rPr>
          <w:rFonts w:cs="Arial" w:ascii="Arial" w:hAnsi="Arial"/>
          <w:b w:val="false"/>
          <w:bCs w:val="false"/>
          <w:sz w:val="24"/>
          <w:szCs w:val="24"/>
        </w:rPr>
        <w:t>conforme Art. 7°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, a ser devidamente protocolizado no Protocolo Geral, comprovando a ocorrência do desequilíbrio econômico-financeiro do contrato, </w:t>
      </w:r>
      <w:r>
        <w:rPr>
          <w:rFonts w:cs="Arial" w:ascii="Arial" w:hAnsi="Arial"/>
          <w:b w:val="false"/>
          <w:bCs w:val="false"/>
          <w:sz w:val="24"/>
          <w:szCs w:val="24"/>
        </w:rPr>
        <w:t>acrescidos da seguinte documentação: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sz w:val="24"/>
          <w:szCs w:val="24"/>
        </w:rPr>
        <w:t>Planilha orçamentária apresentada na licitação.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Planilha </w:t>
      </w:r>
      <w:r>
        <w:rPr>
          <w:rFonts w:cs="Arial" w:ascii="Arial" w:hAnsi="Arial"/>
          <w:b w:val="false"/>
          <w:bCs w:val="false"/>
          <w:sz w:val="24"/>
          <w:szCs w:val="24"/>
        </w:rPr>
        <w:t>orçamentária atualizada conforme pedido de reequilíbrio.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9º.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Ao requerimento de reequilíbrio, além dos documentos mencionados no</w:t>
      </w:r>
      <w:r>
        <w:rPr>
          <w:rFonts w:cs="Arial" w:ascii="Arial" w:hAnsi="Arial"/>
          <w:b w:val="false"/>
          <w:bCs w:val="false"/>
          <w:sz w:val="24"/>
          <w:szCs w:val="24"/>
        </w:rPr>
        <w:t>s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artigo</w:t>
      </w:r>
      <w:r>
        <w:rPr>
          <w:rFonts w:cs="Arial" w:ascii="Arial" w:hAnsi="Arial"/>
          <w:b w:val="false"/>
          <w:bCs w:val="false"/>
          <w:sz w:val="24"/>
          <w:szCs w:val="24"/>
        </w:rPr>
        <w:t>s 7° e 8°</w:t>
      </w:r>
      <w:r>
        <w:rPr>
          <w:rFonts w:cs="Arial" w:ascii="Arial" w:hAnsi="Arial"/>
          <w:b w:val="false"/>
          <w:bCs w:val="false"/>
          <w:sz w:val="24"/>
          <w:szCs w:val="24"/>
        </w:rPr>
        <w:t>, serão juntados sob a responsabilidade da Administração Pública: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Informações acerca da existência de dotação orçamentária e de que a despesa atende ao disposto no art. 16 da Lei Complementar nº 101/2000;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Relatórios contemplando os valores praticados durante toda a execução contratual, saldo remanescente, medições e termos aditivos, se houver;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III.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Nova pesquisa de mercado relativa ao objeto do contrato/ata de registro de preços cujo reequilíbrio é solicitado;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IV.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Parecer da unidade contratante (ordenadores de despesa, gestores e fiscais de contrato) sobre o resultado da análise das razões e documentos apresentados, bem como sobre as planilhas de custos e o cálculo final dos preços a serem revisados;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V. </w:t>
      </w:r>
      <w:r>
        <w:rPr>
          <w:rFonts w:cs="Arial" w:ascii="Arial" w:hAnsi="Arial"/>
          <w:b w:val="false"/>
          <w:bCs w:val="false"/>
          <w:sz w:val="24"/>
          <w:szCs w:val="24"/>
        </w:rPr>
        <w:t>Parecer Jurídico sobre a legalidade do pleito;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VI.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Outros documentos que a administração entender necessários a depender do caso concreto. Em se tratando de obra ou serviços de engenharia, deverá conter a aprovação do Engenheiro </w:t>
      </w:r>
      <w:r>
        <w:rPr>
          <w:rFonts w:cs="Arial" w:ascii="Arial" w:hAnsi="Arial"/>
          <w:b w:val="false"/>
          <w:bCs w:val="false"/>
          <w:sz w:val="24"/>
          <w:szCs w:val="24"/>
        </w:rPr>
        <w:t>do município.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§ 1°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As pequisas de mercado deverão ser realizadas pelos fiscais de cada contrato.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10</w:t>
      </w:r>
      <w:r>
        <w:rPr>
          <w:rFonts w:cs="Arial" w:ascii="Arial" w:hAnsi="Arial"/>
          <w:b w:val="false"/>
          <w:bCs w:val="false"/>
          <w:sz w:val="24"/>
          <w:szCs w:val="24"/>
        </w:rPr>
        <w:t>. Na análise do pedido de reequilíbrio devem ser consideradas todas as majorações para reequilíbrio eventualmente já concedidas.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11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. É de competência da unidade contratante, a análise das razões e documentos apresentados, como também a emissão de parecer sobre as planilhas de custos e o cálculo final dos índices oficiais previstos no contrato a serem aplicados.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§ </w:t>
      </w:r>
      <w:r>
        <w:rPr>
          <w:rFonts w:cs="Arial" w:ascii="Arial" w:hAnsi="Arial"/>
          <w:b/>
          <w:bCs/>
          <w:sz w:val="24"/>
          <w:szCs w:val="24"/>
        </w:rPr>
        <w:t>1</w:t>
      </w:r>
      <w:r>
        <w:rPr>
          <w:rFonts w:cs="Arial" w:ascii="Arial" w:hAnsi="Arial"/>
          <w:b/>
          <w:bCs/>
          <w:sz w:val="24"/>
          <w:szCs w:val="24"/>
        </w:rPr>
        <w:t>°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Será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encaminhado ao Setor Contábil e Financeiro para verificar as rubricas orçamentárias relacionadas ao contrato e se a mesma suporta o acréscimo pleiteado, </w:t>
      </w:r>
      <w:r>
        <w:rPr>
          <w:rFonts w:cs="Arial" w:ascii="Arial" w:hAnsi="Arial"/>
          <w:b w:val="false"/>
          <w:bCs w:val="false"/>
          <w:sz w:val="24"/>
          <w:szCs w:val="24"/>
        </w:rPr>
        <w:t>quando se tratar de serviços.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§ </w:t>
      </w:r>
      <w:r>
        <w:rPr>
          <w:rFonts w:cs="Arial" w:ascii="Arial" w:hAnsi="Arial"/>
          <w:b/>
          <w:bCs/>
          <w:sz w:val="24"/>
          <w:szCs w:val="24"/>
        </w:rPr>
        <w:t>2</w:t>
      </w:r>
      <w:r>
        <w:rPr>
          <w:rFonts w:cs="Arial" w:ascii="Arial" w:hAnsi="Arial"/>
          <w:b/>
          <w:bCs/>
          <w:sz w:val="24"/>
          <w:szCs w:val="24"/>
        </w:rPr>
        <w:t>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unidade contratante se manifestará autorizando ou não à concessão do pedido com a devida justificativa e posteriormente enviará os autos a Procuradoria Jurídica visando à elaboração de parecer no que tange a legalidade;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 xml:space="preserve">§ </w:t>
      </w:r>
      <w:r>
        <w:rPr>
          <w:rFonts w:cs="Arial" w:ascii="Arial" w:hAnsi="Arial"/>
          <w:b/>
          <w:bCs/>
          <w:sz w:val="24"/>
          <w:szCs w:val="24"/>
        </w:rPr>
        <w:t>3</w:t>
      </w:r>
      <w:r>
        <w:rPr>
          <w:rFonts w:cs="Arial" w:ascii="Arial" w:hAnsi="Arial"/>
          <w:b/>
          <w:bCs/>
          <w:sz w:val="24"/>
          <w:szCs w:val="24"/>
        </w:rPr>
        <w:t>º.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Após, a Controladoria analisará o pedido opinando pela viabilidade ou não do reequilíbrio.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12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. Se deferida a solicitação, o Setor de Compras e Licitações deverá providenciar o termo aditivo ao contrato, procedendo a convocação do contratado para assiná-lo juntamente com o Chefe do Executivo; se indeferida, a Administração deverá notificar o contratado expondo os motivos determinantes;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/>
          <w:bCs/>
          <w:sz w:val="24"/>
          <w:szCs w:val="24"/>
        </w:rPr>
        <w:t>Art. 13</w:t>
      </w:r>
      <w:r>
        <w:rPr>
          <w:rFonts w:cs="Arial" w:ascii="Arial" w:hAnsi="Arial"/>
          <w:b w:val="false"/>
          <w:bCs w:val="false"/>
          <w:sz w:val="24"/>
          <w:szCs w:val="24"/>
        </w:rPr>
        <w:t>. Esta Instrução Normativa entrará em vigor na data de sua publicação.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/>
      </w:pPr>
      <w:r>
        <w:rPr>
          <w:rFonts w:cs="Arial" w:ascii="Arial" w:hAnsi="Arial"/>
          <w:b w:val="false"/>
          <w:bCs w:val="false"/>
          <w:sz w:val="24"/>
          <w:szCs w:val="24"/>
        </w:rPr>
        <w:t>Controladoria e Auditoria Geral de Nova Esperança do Sul, 04 de abril de 2022.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both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Luciane Minuzzi Lanes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1134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Auditora de Controle Interno do Município</w:t>
      </w:r>
    </w:p>
    <w:p>
      <w:pPr>
        <w:pStyle w:val="Normal"/>
        <w:widowControl/>
        <w:suppressAutoHyphens w:val="true"/>
        <w:bidi w:val="0"/>
        <w:spacing w:lineRule="auto" w:line="360" w:before="0" w:after="160"/>
        <w:ind w:left="0" w:right="0" w:firstLine="1134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701" w:right="1134" w:gutter="0" w:header="708" w:top="170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atang">
    <w:altName w:val="바탕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>
        <w:rFonts w:ascii="Batang;바탕" w:hAnsi="Batang;바탕" w:eastAsia="Batang;바탕" w:cs="Batang;바탕"/>
        <w:b/>
        <w:b/>
        <w:bCs w:val="false"/>
        <w:color w:val="333333"/>
        <w:sz w:val="20"/>
        <w:szCs w:val="18"/>
      </w:rPr>
    </w:pPr>
    <w:r>
      <w:rPr>
        <w:rFonts w:eastAsia="Batang;바탕" w:cs="Batang;바탕" w:ascii="Batang;바탕" w:hAnsi="Batang;바탕"/>
        <w:b/>
        <w:bCs w:val="false"/>
        <w:color w:val="333333"/>
        <w:sz w:val="20"/>
        <w:szCs w:val="18"/>
      </w:rPr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5038090</wp:posOffset>
          </wp:positionH>
          <wp:positionV relativeFrom="paragraph">
            <wp:posOffset>-361950</wp:posOffset>
          </wp:positionV>
          <wp:extent cx="980440" cy="108648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2926" t="21654" r="33732" b="16229"/>
                  <a:stretch>
                    <a:fillRect/>
                  </a:stretch>
                </pic:blipFill>
                <pic:spPr bwMode="auto">
                  <a:xfrm>
                    <a:off x="0" y="0"/>
                    <a:ext cx="980440" cy="1086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object w:dxaOrig="3630" w:dyaOrig="4740">
        <v:shapetype id="_x0000_tole_rId2" coordsize="21600,21600" o:spt="ole_rId2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2" type="_x0000_tole_rId2" style="position:absolute;margin-left:-22.7pt;margin-top:-12.35pt;width:42.75pt;height:47.9pt;mso-wrap-distance-left:9.05pt;mso-wrap-distance-right:9.05pt;mso-position-horizontal-relative:text;mso-position-vertical-relative:text" filled="t" fillcolor="#FFFFFF" o:ole="">
          <v:imagedata r:id="rId3" o:title=""/>
          <w10:wrap type="square" side="right"/>
        </v:shape>
        <o:OLEObject Type="Embed" ProgID="" ShapeID="ole_rId2" DrawAspect="Content" ObjectID="_1859624325" r:id="rId2"/>
      </w:object>
    </w:r>
  </w:p>
  <w:p>
    <w:pPr>
      <w:pStyle w:val="Cabealho"/>
      <w:ind w:left="741" w:right="0" w:hanging="0"/>
      <w:jc w:val="center"/>
      <w:rPr>
        <w:rFonts w:ascii="Batang;바탕" w:hAnsi="Batang;바탕" w:eastAsia="Batang;바탕" w:cs="Batang;바탕"/>
        <w:b/>
        <w:b/>
        <w:bCs w:val="false"/>
        <w:color w:val="333333"/>
        <w:sz w:val="20"/>
        <w:szCs w:val="18"/>
      </w:rPr>
    </w:pPr>
    <w:r>
      <w:rPr>
        <w:rFonts w:eastAsia="Batang;바탕" w:cs="Batang;바탕" w:ascii="Batang;바탕" w:hAnsi="Batang;바탕"/>
        <w:b/>
        <w:bCs w:val="false"/>
        <w:color w:val="333333"/>
        <w:sz w:val="20"/>
        <w:szCs w:val="18"/>
      </w:rPr>
      <w:t xml:space="preserve">ESTADO DO RIO GRANDE DO SUL    </w:t>
    </w:r>
  </w:p>
  <w:p>
    <w:pPr>
      <w:pStyle w:val="Cabealho"/>
      <w:ind w:left="741" w:right="0" w:hanging="0"/>
      <w:jc w:val="center"/>
      <w:rPr>
        <w:rFonts w:ascii="Batang;바탕" w:hAnsi="Batang;바탕" w:cs="Batang;바탕"/>
        <w:b/>
        <w:b/>
        <w:bCs w:val="false"/>
        <w:color w:val="333333"/>
        <w:sz w:val="20"/>
        <w:szCs w:val="18"/>
      </w:rPr>
    </w:pPr>
    <w:r>
      <w:rPr>
        <w:rFonts w:cs="Batang;바탕" w:ascii="Batang;바탕" w:hAnsi="Batang;바탕"/>
        <w:b/>
        <w:bCs w:val="false"/>
        <w:color w:val="333333"/>
        <w:sz w:val="20"/>
        <w:szCs w:val="18"/>
      </w:rPr>
      <w:t>PREFEITURA MUNICIPAL DE NOVA ESPERANÇA DO SUL</w:t>
    </w:r>
  </w:p>
  <w:p>
    <w:pPr>
      <w:pStyle w:val="Cabealho"/>
      <w:pBdr>
        <w:bottom w:val="single" w:sz="8" w:space="1" w:color="000000"/>
      </w:pBdr>
      <w:jc w:val="center"/>
      <w:rPr>
        <w:rFonts w:ascii="Batang;바탕" w:hAnsi="Batang;바탕" w:cs="Batang;바탕"/>
        <w:b/>
        <w:b/>
        <w:bCs w:val="false"/>
        <w:color w:val="333333"/>
        <w:sz w:val="20"/>
        <w:szCs w:val="18"/>
      </w:rPr>
    </w:pPr>
    <w:r>
      <w:rPr>
        <w:rFonts w:cs="Batang;바탕" w:ascii="Batang;바탕" w:hAnsi="Batang;바탕"/>
        <w:b/>
        <w:bCs w:val="false"/>
        <w:color w:val="333333"/>
        <w:sz w:val="20"/>
        <w:szCs w:val="18"/>
      </w:rPr>
      <w:t>CONTROLADORIA E AUDITORIA GERAL</w:t>
    </w:r>
  </w:p>
  <w:p>
    <w:pPr>
      <w:pStyle w:val="Cabealho"/>
      <w:pBdr>
        <w:bottom w:val="single" w:sz="8" w:space="1" w:color="000000"/>
      </w:pBdr>
      <w:tabs>
        <w:tab w:val="clear" w:pos="4252"/>
        <w:tab w:val="clear" w:pos="8504"/>
        <w:tab w:val="center" w:pos="4419" w:leader="none"/>
        <w:tab w:val="right" w:pos="8838" w:leader="none"/>
      </w:tabs>
      <w:spacing w:lineRule="auto" w:line="240" w:before="0" w:after="0"/>
      <w:ind w:left="567" w:hanging="0"/>
      <w:jc w:val="center"/>
      <w:rPr>
        <w:rFonts w:ascii="Times New Roman" w:hAnsi="Times New Roman" w:eastAsia="Times New Roman" w:cs="Times New Roman"/>
        <w:b/>
        <w:b/>
        <w:sz w:val="24"/>
        <w:szCs w:val="24"/>
        <w:lang w:eastAsia="pt-BR"/>
      </w:rPr>
    </w:pPr>
    <w:r>
      <w:rPr>
        <w:rFonts w:eastAsia="Times New Roman" w:cs="Times New Roman" w:ascii="Times New Roman" w:hAnsi="Times New Roman"/>
        <w:b/>
        <w:sz w:val="24"/>
        <w:szCs w:val="24"/>
        <w:lang w:eastAsia="pt-BR"/>
      </w:rPr>
    </w:r>
  </w:p>
  <w:p>
    <w:pPr>
      <w:pStyle w:val="Normal"/>
      <w:tabs>
        <w:tab w:val="clear" w:pos="708"/>
        <w:tab w:val="left" w:pos="3306" w:leader="none"/>
        <w:tab w:val="center" w:pos="4419" w:leader="none"/>
        <w:tab w:val="right" w:pos="8838" w:leader="none"/>
      </w:tabs>
      <w:spacing w:lineRule="auto" w:line="240" w:before="0" w:after="0"/>
      <w:ind w:left="567" w:hanging="0"/>
      <w:jc w:val="center"/>
      <w:rPr>
        <w:rFonts w:ascii="Times New Roman" w:hAnsi="Times New Roman" w:eastAsia="Times New Roman" w:cs="Times New Roman"/>
        <w:sz w:val="24"/>
        <w:szCs w:val="24"/>
        <w:lang w:eastAsia="pt-BR"/>
      </w:rPr>
    </w:pPr>
    <w:r>
      <w:rPr>
        <w:rFonts w:eastAsia="Times New Roman" w:cs="Times New Roman" w:ascii="Times New Roman" w:hAnsi="Times New Roman"/>
        <w:sz w:val="24"/>
        <w:szCs w:val="24"/>
        <w:lang w:eastAsia="pt-BR"/>
      </w:rPr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47fa4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4f0db3"/>
    <w:rPr/>
  </w:style>
  <w:style w:type="character" w:styleId="RodapChar" w:customStyle="1">
    <w:name w:val="Rodapé Char"/>
    <w:basedOn w:val="DefaultParagraphFont"/>
    <w:uiPriority w:val="99"/>
    <w:qFormat/>
    <w:rsid w:val="004f0db3"/>
    <w:rPr/>
  </w:style>
  <w:style w:type="character" w:styleId="PlaceholderText">
    <w:name w:val="Placeholder Text"/>
    <w:basedOn w:val="DefaultParagraphFont"/>
    <w:uiPriority w:val="99"/>
    <w:semiHidden/>
    <w:qFormat/>
    <w:rsid w:val="00ea669f"/>
    <w:rPr>
      <w:color w:val="808080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669f"/>
    <w:rPr>
      <w:rFonts w:ascii="Tahoma" w:hAnsi="Tahoma" w:cs="Tahoma"/>
      <w:sz w:val="16"/>
      <w:szCs w:val="16"/>
    </w:rPr>
  </w:style>
  <w:style w:type="character" w:styleId="CorpodetextoChar" w:customStyle="1">
    <w:name w:val="Corpo de texto Char"/>
    <w:basedOn w:val="DefaultParagraphFont"/>
    <w:uiPriority w:val="1"/>
    <w:qFormat/>
    <w:rsid w:val="00872ecc"/>
    <w:rPr>
      <w:rFonts w:ascii="Arial MT" w:hAnsi="Arial MT" w:eastAsia="Arial MT" w:cs="Arial MT"/>
      <w:sz w:val="12"/>
      <w:szCs w:val="12"/>
      <w:lang w:val="pt-PT"/>
    </w:rPr>
  </w:style>
  <w:style w:type="character" w:styleId="TtuloChar" w:customStyle="1">
    <w:name w:val="Título Char"/>
    <w:basedOn w:val="DefaultParagraphFont"/>
    <w:uiPriority w:val="1"/>
    <w:qFormat/>
    <w:rsid w:val="00872ecc"/>
    <w:rPr>
      <w:rFonts w:ascii="Times New Roman" w:hAnsi="Times New Roman" w:eastAsia="Times New Roman" w:cs="Times New Roman"/>
      <w:sz w:val="20"/>
      <w:szCs w:val="20"/>
      <w:lang w:val="pt-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rsid w:val="00872ecc"/>
    <w:pPr>
      <w:widowControl w:val="false"/>
      <w:spacing w:lineRule="auto" w:line="240" w:before="0" w:after="0"/>
    </w:pPr>
    <w:rPr>
      <w:rFonts w:ascii="Arial MT" w:hAnsi="Arial MT" w:eastAsia="Arial MT" w:cs="Arial MT"/>
      <w:sz w:val="12"/>
      <w:szCs w:val="12"/>
      <w:lang w:val="pt-PT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4f0db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4f0db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04b11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66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tulododocumento">
    <w:name w:val="Title"/>
    <w:basedOn w:val="Normal"/>
    <w:link w:val="TtuloChar"/>
    <w:uiPriority w:val="1"/>
    <w:qFormat/>
    <w:rsid w:val="00872ecc"/>
    <w:pPr>
      <w:widowControl w:val="false"/>
      <w:spacing w:lineRule="auto" w:line="240" w:before="0" w:after="0"/>
      <w:ind w:left="1078" w:hanging="0"/>
    </w:pPr>
    <w:rPr>
      <w:rFonts w:ascii="Times New Roman" w:hAnsi="Times New Roman" w:eastAsia="Times New Roman" w:cs="Times New Roman"/>
      <w:sz w:val="20"/>
      <w:szCs w:val="20"/>
      <w:lang w:val="pt-PT"/>
    </w:rPr>
  </w:style>
  <w:style w:type="paragraph" w:styleId="TableParagraph" w:customStyle="1">
    <w:name w:val="Table Paragraph"/>
    <w:basedOn w:val="Normal"/>
    <w:uiPriority w:val="1"/>
    <w:qFormat/>
    <w:rsid w:val="00872ecc"/>
    <w:pPr>
      <w:widowControl w:val="false"/>
      <w:spacing w:lineRule="auto" w:line="240" w:before="0" w:after="0"/>
    </w:pPr>
    <w:rPr>
      <w:rFonts w:ascii="Arial MT" w:hAnsi="Arial MT" w:eastAsia="Arial MT" w:cs="Arial MT"/>
      <w:lang w:val="pt-PT"/>
    </w:rPr>
  </w:style>
  <w:style w:type="paragraph" w:styleId="Caption">
    <w:name w:val="caption"/>
    <w:basedOn w:val="Normal"/>
    <w:next w:val="Normal"/>
    <w:uiPriority w:val="35"/>
    <w:unhideWhenUsed/>
    <w:qFormat/>
    <w:rsid w:val="00fb3753"/>
    <w:pPr>
      <w:spacing w:lineRule="auto" w:line="240" w:before="0" w:after="200"/>
    </w:pPr>
    <w:rPr>
      <w:b/>
      <w:bCs/>
      <w:color w:val="5B9BD5" w:themeColor="accent1"/>
      <w:sz w:val="18"/>
      <w:szCs w:val="18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72ecc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FD98-B8E0-4B94-A29F-2C09268D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LibreOffice/7.3.0.3$Windows_X86_64 LibreOffice_project/0f246aa12d0eee4a0f7adcefbf7c878fc2238db3</Application>
  <AppVersion>15.0000</AppVersion>
  <Pages>6</Pages>
  <Words>1262</Words>
  <Characters>7289</Characters>
  <CharactersWithSpaces>8510</CharactersWithSpaces>
  <Paragraphs>50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2021-08-31T17:14:00Z</dcterms:created>
  <dc:creator>EU</dc:creator>
  <dc:description/>
  <dc:language>pt-BR</dc:language>
  <cp:lastModifiedBy/>
  <dcterms:modified xsi:type="dcterms:W3CDTF">2022-04-29T13:37:05Z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